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bCs/>
          <w:sz w:val="40"/>
          <w:szCs w:val="40"/>
        </w:rPr>
      </w:pPr>
      <w:r>
        <w:rPr>
          <w:rFonts w:hint="eastAsia" w:ascii="方正小标宋简体" w:hAnsi="宋体" w:eastAsia="方正小标宋简体"/>
          <w:bCs/>
          <w:sz w:val="40"/>
          <w:szCs w:val="40"/>
        </w:rPr>
        <w:t>企业技术需求及技术难题汇总表</w:t>
      </w:r>
    </w:p>
    <w:p>
      <w:pPr>
        <w:jc w:val="center"/>
        <w:rPr>
          <w:rFonts w:hint="eastAsia" w:ascii="方正小标宋简体" w:hAnsi="宋体" w:eastAsia="方正小标宋简体"/>
          <w:bCs/>
          <w:sz w:val="40"/>
          <w:szCs w:val="40"/>
        </w:rPr>
      </w:pPr>
    </w:p>
    <w:p>
      <w:pPr>
        <w:rPr>
          <w:rFonts w:hint="eastAsia"/>
        </w:rPr>
      </w:pPr>
    </w:p>
    <w:tbl>
      <w:tblPr>
        <w:tblStyle w:val="3"/>
        <w:tblW w:w="14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18"/>
        <w:gridCol w:w="1745"/>
        <w:gridCol w:w="1832"/>
        <w:gridCol w:w="7111"/>
        <w:gridCol w:w="1053"/>
        <w:gridCol w:w="1153"/>
        <w:gridCol w:w="13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7"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序号</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企业名称</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技术需求及难题名称</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rPr>
              <w:t>技术需求说明</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需求领域</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联系人</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蓬莱市超硬复合材料有限公司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内冷硬质合金刀具的制备</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内冷硬质合金刀具主要用于汽车，航空航天等发动机深孔的加工。内冷硬质合金刀具具有孔壁光洁度高、寿命长、排屑快等优点。内冷硬质合金刀具的技术难点在于内冷孔依着螺旋线，在加工刀具时不能发生穿孔的事情。</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内冷硬质合金刀具首先需要有双螺旋孔或三螺旋孔棒材，且螺旋角精度为±0.2º。如何保证批量生产出螺旋角精度为±0.2º的棒材是制备内冷硬质合金刀具的关键。目前国外掌握该技术的有德国KF和AF公司以及美国肯纳公司，国内的公司基本不太成熟。</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材料科学</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张华</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13605457298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2</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山东蓬莱电力设备制造有限公司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提高细碎机锤头和耐磨板耐磨性研究</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color w:val="000000"/>
                <w:sz w:val="21"/>
                <w:szCs w:val="21"/>
              </w:rPr>
              <w:t>目前锤头在煤质较好的电厂使用寿命大约在1000小时左右，希望通过改进初期使用寿命提高50%以上，通过优化材料配比，改革制造工艺，制造成本至少降低30%。</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材料科学</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任京鑫</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13589818323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3</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烟台东牧精密线材有限公司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超微细扁线研究</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color w:val="000000"/>
                <w:sz w:val="20"/>
                <w:szCs w:val="20"/>
              </w:rPr>
              <w:t>在超微细扁线涂漆工艺方面具有较高的研究成就，能够帮助企业突破关键技术。</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材料科学</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汤轶</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18553507069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4</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山东丰基包装有限公司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提升FFS重包装膜性能的配方</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color w:val="000000"/>
                <w:sz w:val="20"/>
                <w:szCs w:val="20"/>
              </w:rPr>
              <w:t>公司在FFS重包装膜生产中的主要技术问题是无法实现在保障包装膜基本物理强度的前提下将包装膜厚度控制在140μm以下。此项技术的开发对开发FFS重包装膜适用范围上有重大意义，可以更广泛的将重包装膜应用于各个领域，满足顾客日益增长的产品需要，进一步的压缩包装成本。</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材料科学</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陈浩</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13375355419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5</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烟台洛姆电子有限公司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高速镀锡设备及工艺</w:t>
            </w:r>
          </w:p>
        </w:tc>
        <w:tc>
          <w:tcPr>
            <w:tcW w:w="7111" w:type="dxa"/>
            <w:vAlign w:val="center"/>
          </w:tcPr>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1.针对现有设备进行高速设备改造，实现设备和镀锡工艺的配套和稳定。</w:t>
            </w:r>
          </w:p>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2.对现有硫酸盐镀锡体系进行研究，或采用更能符合高速镀锡的镀液体系，以适应高速镀锡对产品性能和镀液稳定性的要求，实现50%以上的设备提速增效。</w:t>
            </w:r>
          </w:p>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3.实现镀液运行半个月以上不浑浊及稳定生产。</w:t>
            </w:r>
          </w:p>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4.产品实现200℃温度下1小时老化不变色要求。</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color w:val="000000"/>
                <w:sz w:val="20"/>
                <w:szCs w:val="20"/>
              </w:rPr>
              <w:t>5.能耗和水耗降低10-30%。</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材料科学</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王奎</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18253574528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3"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6</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山东金创金银冶炼有限公司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银电解液除铜方法</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银电解液目前主要是根据不同pH沉淀的方法除铜，添加硫酸的方式除铅，但沉淀的杂质中含有较高的银，处理处理效果不理想。</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现需一种比较简易、合理的银电解液处理方式。</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材料科学</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王卫亭</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13589833398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5"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7</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蓬莱中柏京鲁船业有限公司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 xml:space="preserve"> 船舶轻量化和安全化技术的研究</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1.满足国际海事组织IMO要求的EEDI（新船能效设计指数）第三阶段技术研究；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2.应用于新造船的新型绿色环保，节能减排装置的研发；</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3. 船舶轻量化和安全化技术的研究；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4.节能型新船型的开发研究。</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船舶制造</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刘玉川</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13688670125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8</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蓬莱红卫化工有限公司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高效助染剂</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寻求高效助染剂，性能要求如下：</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 xml:space="preserve"> 1：耐氯离子：与氯离子能形成季铵盐结构，牢固的附着在氨纶丝上，并且与氨纶丝相容性好。</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 xml:space="preserve"> 2：耐水洗耐漂洗：多次水洗的染色了不低于95%，褪色率小于5%。</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化工新材料</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常加力</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13562577556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9</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蓬莱嘉信染料化工股份有限公司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高浓度硫酸废水处理技术</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公司硫酸母液废水1000吨/天，含硫酸10%,COD10000mg/L，总氮150mg/L，色度800倍，主要有机物为氨基磺酸（H2NSO3H）、苯胺及硝基苯胺类等有机物，目前采用先用活性炭简单脱色，然后用氢氧化钙中和后混合物进入臭氧催化氧化脱色并去除有机物，由于废水中石膏含量较高导致曝气器堵塞，臭氧利用效率较低，寻求一种在强酸性条件下进行高效催化氧化脱色去除有机物的先进技术来解决这个问题。</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化工新材料</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何亮</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18866485730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10</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蓬莱新光颜料化工有限公司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1、中间体合成方面的技术需求2、表面活性剂方面的技术需求3、新材料等方面的技术需求</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中间体合成方面主要涉及硝化，还原和磺酸反应，第二项就是与颜料应用性能相关的，表面活性剂是涉及对颜料的改性方面，第三项：颜料是分散在对应的应用体系中的，在应用体系中涉及的方面比较多就是材料方面的技术，所以对新材料方面有技术需求。</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化工新材料</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徐珍香</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15098660712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11</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山东明福染业有限公司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天然纱线植物染料染色关键技术及产业化</w:t>
            </w:r>
          </w:p>
        </w:tc>
        <w:tc>
          <w:tcPr>
            <w:tcW w:w="7111" w:type="dxa"/>
            <w:vAlign w:val="center"/>
          </w:tcPr>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1.天然纱线植物染料染色技术。</w:t>
            </w:r>
          </w:p>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2.染料的匀染性、上染率及染色重现性。</w:t>
            </w:r>
          </w:p>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3.植物染料染色产品色牢度的稳定性。</w:t>
            </w:r>
          </w:p>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4.实现几只植物染料染纱线规模化稳定生产，缸差控制在4级以上。</w:t>
            </w:r>
          </w:p>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5.染线植物染产品干湿摩擦牢度达到4-5级、皂洗牢度4级以上，耐水色牢度4级以上，耐酸汗渍牢度4-5级， 耐碱汗渍牢度3-4级。</w:t>
            </w:r>
          </w:p>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6.甲醛不得检出，重金属的含量达到或高于GB/T 17593.2-2007，GB/T 17593.3-2007，GB/T 17593.4-2007标准要求。</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color w:val="000000"/>
                <w:sz w:val="20"/>
                <w:szCs w:val="20"/>
              </w:rPr>
              <w:t>7.染色产品上植物染料的鉴别。</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化工新材料</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徐操林</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17353515666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12</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蓬莱星火化工有限公司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阳离子单体乙烯基甲酰胺的技术开发及下游产品的技术开发</w:t>
            </w:r>
          </w:p>
        </w:tc>
        <w:tc>
          <w:tcPr>
            <w:tcW w:w="7111" w:type="dxa"/>
            <w:vAlign w:val="center"/>
          </w:tcPr>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1.乙烯基甲酰胺的技术路线开发。</w:t>
            </w:r>
          </w:p>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2.乙烯基甲酰胺的小试、中试的技术开发，确认工业化生产工艺。</w:t>
            </w:r>
          </w:p>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3.乙烯基甲酰胺下游产品之一：聚乙烯胺的合成工艺开发、小试、中试。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color w:val="000000"/>
                <w:sz w:val="20"/>
                <w:szCs w:val="20"/>
              </w:rPr>
              <w:t>4.乙烯基甲酰胺下游产品之二：聚乙烯眯的合成工艺开发、小试、中试。</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化工新材料</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鲁伟</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15098671085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13</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烟台华康生物医药科技有限公司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海参蒸煮液回收提纯</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采用海参蒸煮液的多级膜分离;收集多级膜透过液,一级陶瓷膜过滤拦截主要为蛋白大分子、多糖等；二级膜透过液体主要含有小分子蛋白,寡糖及色素等,三级膜透过液主要含有皂苷,无机离子等; 一级膜陶瓷膜过滤拦截蛋白大分子冷冻干燥得到；二级膜透过液体中加入复合蛋白酶酶解,酶解完成后加入活性炭脱色脱腥,酶解液离心浓缩后喷雾干燥得海参糖肽;三级膜过滤液体采用控温泡沫分离,得海参皂苷。该技术可从海参蒸煮液中回收蛋白,多糖,皂苷等活性成分,具有工艺流程简单,设备要求低,适合工业化大规模生产等特点,在回收利用有效资源的同时减少海参蒸煮液排放对环境的污染。</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食品科学</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邵廷</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0535-5620333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14</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烟台宝肤灵生物科技有限公司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海参冻干技术及复合产品功效研究</w:t>
            </w:r>
          </w:p>
        </w:tc>
        <w:tc>
          <w:tcPr>
            <w:tcW w:w="7111" w:type="dxa"/>
            <w:vAlign w:val="center"/>
          </w:tcPr>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通过酶解的方式对海参及其副产品进行处理，得到分子量1万以下的海参多肽。并通过和其他功效成分复配，进行冻干，要求整个生产路线产生废物少，节能环保。</w:t>
            </w:r>
          </w:p>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攻关方向：1.酶解方式及过程控制参数的确定；2.冻干技术路线确认的确定。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color w:val="000000"/>
                <w:sz w:val="20"/>
                <w:szCs w:val="20"/>
              </w:rPr>
              <w:t>预期目标：达到1万以下分子量海参肽≥85%，综合能源成本≤300元/kg。</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食品科学</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龚培洲</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13589831666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15</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蓬莱汇洋食品有限公司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秋刀鱼品质改良技术</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秋刀鱼产品加工过程中挑拣出的规格外原料在半解冻后再冷冻，储藏半年后鲜度下降明显，出现返油现象，保质期大大缩减。希望能寻求有效的品质保持方法，有效延长此部分秋刀鱼储存保质期。</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高效农业</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付运红</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13963805121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16</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中粮长城葡萄酒（蓬莱）有限公司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特色酿酒葡萄品种培育与智慧化高效栽培技术</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1.研究葡萄品种资源的引进培育及适栽性并进行推广应用，构建适应胶东产区气候特征的高产、优质、抗性强的酿酒葡萄品种资源圃和无毒嫁接苗木抗性栽培技术体系。</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2.研究构建葡萄种植信息化、机械化等综合性现代农业高效栽培调控技术体系，解决产区雨热同季、酿酒葡萄栽培调控难度大及现代农业技术应用落后的现状。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3.优化葡萄园信息化精准管控技术，重点研究葡萄园栽培田间气象、树体生长指标信息化采集与大数据分析及机械化应用、农事智慧决策等“提质降本”高效农业管理技术，带动行业葡萄种植技术创新升级。</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高效农业</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董雅雯</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18729217137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17</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山东民和生物科技股份有限公司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鸡粪厌氧发酵代谢产物提取液对土壤的改良作用及其应用机理研究</w:t>
            </w:r>
          </w:p>
        </w:tc>
        <w:tc>
          <w:tcPr>
            <w:tcW w:w="7111" w:type="dxa"/>
            <w:vAlign w:val="center"/>
          </w:tcPr>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1.针对当前土壤板结酸化、盐渍化等逆境土壤激增的问题，以鸡粪厌氧发酵代谢产物提取液为基础，开发土壤修复型专用水溶肥料产品，开展土壤修复应用效果及机理研究。</w:t>
            </w:r>
          </w:p>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2.针对三七连作障碍、轮作周期长，长期限制三七种植发展的技术难题，以鸡粪厌氧发酵代谢产物提取液为基础，开发三七专用水溶肥料/克服三七连作障碍专用水溶肥料产品，有效缩短三七轮作周期间隔，缓解三七连作障碍。技术攻关后将开发新型功能性水溶肥料，并应用于全国农业土壤改良与种植，有效拓展延伸我区种养结合循环生态农业产业链，有助于缓解国内农业持续发展面临的重大技术难题，促进我国农业持续健康发展。</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color w:val="000000"/>
                <w:sz w:val="20"/>
                <w:szCs w:val="20"/>
              </w:rPr>
              <w:t>人才要求：具有在高校/科研机构长期开展土壤微生物、三七连作障碍、功能性肥料开发的研究基础，并取得部分可转化的相关科技成果。</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高效农业</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董泰丽</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13954575626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18</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山东蓬翔汽车有限公司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智能大负载AGV无轨导航和调度控制系统</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针对室外大负载AGV精准导航、多重安全保护和多车调控的智能化需求，突然国内智能园区室外AGV复合导航、多重安全防护和智能管理等关键技术，实现园区级AGV智能物流系统和智能生产之间智能对接。具体技术指标如下：</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室外大负载AGV产品的精准导航。导航在全天候室外环境下（极端恶劣天气除外）持续有效运行；导航控制AGV的停车精度纵向±5cm，横向±5cm，车身姿态±1°；AGV运行精度纵向±10cm，车身姿态±2°，可控速度≥10km/h；实现开机自主定位，定位误差≤100mm；导航监测安全避障障碍物检测距离＞30m。</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 xml:space="preserve">（2）AGV产品的智能调度控制系统。系统可以调度3种以上产品，调度数量≥50台，调度控制系统后台可实现3D显示，支持包括5G、工业WiFi在内的多种通讯方式。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（3）智能园区物流场景的运行测试监控系统。系统支持单张地图≥500000㎡，系统能够模拟AGV智能运行过程中的各种场景。</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汽车零部件</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刘均伟</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18354536583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7"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19</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烟台恒驰挂车有限公司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底板往复运动卸货车的液压控制系统</w:t>
            </w:r>
          </w:p>
        </w:tc>
        <w:tc>
          <w:tcPr>
            <w:tcW w:w="7111" w:type="dxa"/>
            <w:vAlign w:val="center"/>
          </w:tcPr>
          <w:p>
            <w:pPr>
              <w:spacing w:line="300" w:lineRule="exact"/>
              <w:jc w:val="left"/>
              <w:rPr>
                <w:rFonts w:hint="eastAsia" w:ascii="仿宋_GB2312" w:hAnsi="仿宋_GB2312" w:eastAsia="仿宋_GB2312" w:cs="仿宋_GB2312"/>
                <w:bCs/>
                <w:color w:val="000000"/>
                <w:sz w:val="20"/>
                <w:szCs w:val="20"/>
              </w:rPr>
            </w:pPr>
            <w:r>
              <w:rPr>
                <w:rFonts w:hint="eastAsia" w:ascii="仿宋_GB2312" w:hAnsi="仿宋_GB2312" w:eastAsia="仿宋_GB2312" w:cs="仿宋_GB2312"/>
                <w:bCs/>
                <w:color w:val="000000"/>
                <w:sz w:val="20"/>
                <w:szCs w:val="20"/>
              </w:rPr>
              <w:t>1.整套液压系统开发，包括油缸结构和选型，阀组选型，整体功能实现，功率匹配，参数设定等。</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color w:val="000000"/>
                <w:sz w:val="20"/>
                <w:szCs w:val="20"/>
              </w:rPr>
              <w:t>2.通过新技术解决液压系统的稳定性和可靠性，增加车型种类、扩大外协厂家数量。</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汽车零部件</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郭章超</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18653508610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7" w:hRule="atLeast"/>
        </w:trPr>
        <w:tc>
          <w:tcPr>
            <w:tcW w:w="6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20</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烟台天日汽车部件有限公司</w:t>
            </w:r>
          </w:p>
        </w:tc>
        <w:tc>
          <w:tcPr>
            <w:tcW w:w="1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提高聚氨酯（CPU）疲劳性能</w:t>
            </w:r>
          </w:p>
        </w:tc>
        <w:tc>
          <w:tcPr>
            <w:tcW w:w="71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0"/>
                <w:szCs w:val="20"/>
              </w:rPr>
              <w:t>聚氨酯（CPU)耐疲劳性能的进一步提高或降低材料往复载荷下的内生热，实现缓冲减震件疲劳寿命性能30%以上明显提高。</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汽车零部件</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王其乐</w:t>
            </w:r>
          </w:p>
        </w:tc>
        <w:tc>
          <w:tcPr>
            <w:tcW w:w="13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18353506658</w:t>
            </w:r>
          </w:p>
        </w:tc>
      </w:tr>
    </w:tbl>
    <w:p>
      <w:pPr>
        <w:rPr>
          <w:rFonts w:hint="eastAsia" w:ascii="仿宋_GB2312" w:hAnsi="仿宋_GB2312" w:eastAsia="仿宋_GB2312" w:cs="仿宋_GB2312"/>
          <w:sz w:val="24"/>
          <w:szCs w:val="24"/>
        </w:rPr>
      </w:pPr>
      <w:bookmarkStart w:id="0" w:name="_GoBack"/>
      <w:bookmarkEnd w:id="0"/>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4183D"/>
    <w:rsid w:val="03B370B3"/>
    <w:rsid w:val="051C332D"/>
    <w:rsid w:val="055F6981"/>
    <w:rsid w:val="13131B13"/>
    <w:rsid w:val="178F5DBE"/>
    <w:rsid w:val="18B94FDA"/>
    <w:rsid w:val="19ED3410"/>
    <w:rsid w:val="1BD4183D"/>
    <w:rsid w:val="1D9D698A"/>
    <w:rsid w:val="20583E07"/>
    <w:rsid w:val="29054486"/>
    <w:rsid w:val="2A605840"/>
    <w:rsid w:val="2F864463"/>
    <w:rsid w:val="2FC91EA7"/>
    <w:rsid w:val="32700E07"/>
    <w:rsid w:val="37E97F6F"/>
    <w:rsid w:val="3D657DE5"/>
    <w:rsid w:val="40BC4780"/>
    <w:rsid w:val="48CC2277"/>
    <w:rsid w:val="52357D3F"/>
    <w:rsid w:val="67F15FD4"/>
    <w:rsid w:val="6A720120"/>
    <w:rsid w:val="73694FF3"/>
    <w:rsid w:val="76B17EDF"/>
    <w:rsid w:val="78645036"/>
    <w:rsid w:val="7B665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2021-10-19T00:48:00Z</dcterms:created>
  <dc:creator>llj</dc:creator>
  <cp:lastModifiedBy>老李</cp:lastModifiedBy>
  <cp:lastPrinted>2021-10-19T00:57:00Z</cp:lastPrinted>
  <dcterms:modified xsi:type="dcterms:W3CDTF">2021-10-20T01:52:28Z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0C9A59CB50BC49DEA3E27867BA84EAFF</vt:lpwstr>
  </property>
</Properties>
</file>